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ADCA" w14:textId="77777777" w:rsidR="00102D4B" w:rsidRDefault="00102D4B" w:rsidP="00102D4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0DDA2D" w14:textId="77777777" w:rsidR="00A41BB4" w:rsidRDefault="00276DB6" w:rsidP="00276DB6">
      <w:pPr>
        <w:tabs>
          <w:tab w:val="left" w:pos="6480"/>
        </w:tabs>
        <w:spacing w:after="0" w:line="240" w:lineRule="auto"/>
        <w:ind w:left="-1134" w:right="-426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B6">
        <w:rPr>
          <w:rFonts w:ascii="Times New Roman" w:hAnsi="Times New Roman" w:cs="Times New Roman"/>
          <w:sz w:val="28"/>
          <w:szCs w:val="28"/>
        </w:rPr>
        <w:t>Сведения об этапах обработки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276DB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договора </w:t>
      </w:r>
      <w:r w:rsidRPr="00276DB6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и 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DB6">
        <w:rPr>
          <w:rFonts w:ascii="Times New Roman" w:hAnsi="Times New Roman" w:cs="Times New Roman"/>
          <w:sz w:val="28"/>
          <w:szCs w:val="28"/>
        </w:rPr>
        <w:t>ходе выполнения сетевой организацией технических условий, о фактическом присоединении и фактическом подаче напряжения и мощности на объекты заявителя, а также информацию о составлении и подписании документов о технологическом присоединении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B4">
        <w:rPr>
          <w:rFonts w:ascii="Times New Roman" w:hAnsi="Times New Roman" w:cs="Times New Roman"/>
          <w:b/>
          <w:sz w:val="28"/>
          <w:szCs w:val="28"/>
          <w:u w:val="single"/>
        </w:rPr>
        <w:t>можно узнать по</w:t>
      </w:r>
    </w:p>
    <w:p w14:paraId="1A77C83E" w14:textId="032CEBD6" w:rsidR="00276DB6" w:rsidRPr="00276DB6" w:rsidRDefault="00276DB6" w:rsidP="00276DB6">
      <w:pPr>
        <w:tabs>
          <w:tab w:val="left" w:pos="6480"/>
        </w:tabs>
        <w:spacing w:after="0" w:line="240" w:lineRule="auto"/>
        <w:ind w:left="-1134" w:right="-426" w:firstLine="425"/>
        <w:jc w:val="both"/>
        <w:rPr>
          <w:rFonts w:ascii="Times New Roman" w:hAnsi="Times New Roman" w:cs="Times New Roman"/>
          <w:b/>
          <w:bCs/>
          <w:u w:val="single"/>
        </w:rPr>
      </w:pPr>
      <w:r w:rsidRPr="00A41BB4">
        <w:rPr>
          <w:rFonts w:ascii="Times New Roman" w:hAnsi="Times New Roman" w:cs="Times New Roman"/>
          <w:b/>
          <w:sz w:val="28"/>
          <w:szCs w:val="28"/>
          <w:u w:val="single"/>
        </w:rPr>
        <w:t>тел</w:t>
      </w:r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 xml:space="preserve">. 213-99-40, </w:t>
      </w:r>
      <w:r w:rsidR="00854F50">
        <w:rPr>
          <w:rFonts w:ascii="Times New Roman" w:hAnsi="Times New Roman" w:cs="Times New Roman"/>
          <w:b/>
          <w:sz w:val="28"/>
          <w:szCs w:val="28"/>
          <w:u w:val="single"/>
        </w:rPr>
        <w:t xml:space="preserve">213-99-84 </w:t>
      </w:r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через электронную почту АО «ХМЗ» </w:t>
      </w:r>
      <w:hyperlink r:id="rId4" w:history="1">
        <w:r w:rsidRPr="00276DB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cmp</w:t>
        </w:r>
        <w:r w:rsidRPr="00276DB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276DB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khmz</w:t>
        </w:r>
        <w:r w:rsidRPr="00276DB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276DB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>, либо в приемн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5F44">
        <w:rPr>
          <w:rFonts w:ascii="Times New Roman" w:hAnsi="Times New Roman" w:cs="Times New Roman"/>
          <w:b/>
          <w:sz w:val="28"/>
          <w:szCs w:val="28"/>
          <w:u w:val="single"/>
        </w:rPr>
        <w:t>организации</w:t>
      </w:r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>, расположенн</w:t>
      </w:r>
      <w:r w:rsidR="009C5F44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адресу: г. Красноярск, ул. Александра Матросова, </w:t>
      </w:r>
      <w:r w:rsidR="00854F50">
        <w:rPr>
          <w:rFonts w:ascii="Times New Roman" w:hAnsi="Times New Roman" w:cs="Times New Roman"/>
          <w:b/>
          <w:sz w:val="28"/>
          <w:szCs w:val="28"/>
          <w:u w:val="single"/>
        </w:rPr>
        <w:t>30, стр.</w:t>
      </w:r>
      <w:r w:rsidR="00D8678D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Pr="00276D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049A87A" w14:textId="77777777" w:rsidR="00AB25FF" w:rsidRDefault="00AB25FF" w:rsidP="00AB25F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498945" w14:textId="77777777" w:rsidR="00AB25FF" w:rsidRDefault="00AB25FF" w:rsidP="00AB25F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23DEAE" w14:textId="77777777" w:rsidR="00AB25FF" w:rsidRPr="00E27684" w:rsidRDefault="00AB25FF" w:rsidP="00AB25F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14:paraId="1B227F0C" w14:textId="77777777" w:rsidR="00AB25FF" w:rsidRPr="00E27684" w:rsidRDefault="00AB25FF" w:rsidP="00AB25F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акты.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325"/>
        <w:gridCol w:w="5279"/>
        <w:gridCol w:w="1843"/>
      </w:tblGrid>
      <w:tr w:rsidR="005B5845" w:rsidRPr="00E27684" w14:paraId="403F3CD1" w14:textId="77777777" w:rsidTr="009C5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1172" w14:textId="77777777" w:rsidR="005B5845" w:rsidRPr="00E27684" w:rsidRDefault="005B5845" w:rsidP="00E276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2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20FB" w14:textId="77777777" w:rsidR="005B5845" w:rsidRDefault="005B5845" w:rsidP="00E276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0541EB8" w14:textId="212929B7" w:rsidR="005B5845" w:rsidRPr="00E27684" w:rsidRDefault="005B5845" w:rsidP="00E276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B950" w14:textId="77777777" w:rsidR="005B5845" w:rsidRPr="00E27684" w:rsidRDefault="005B5845" w:rsidP="00E276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03A8" w14:textId="09F4C945" w:rsidR="005B5845" w:rsidRPr="00E27684" w:rsidRDefault="005B5845" w:rsidP="00E276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на нормативный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5B5845" w:rsidRPr="00E27684" w14:paraId="5B6BBB38" w14:textId="77777777" w:rsidTr="009C5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F045" w14:textId="77777777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CB3" w14:textId="77777777" w:rsidR="005B5845" w:rsidRPr="009C5F4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заявки на осуществление технологического присоединения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0AF" w14:textId="77777777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CB4" w14:textId="77777777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845" w:rsidRPr="00E27684" w14:paraId="329F5B4C" w14:textId="77777777" w:rsidTr="009C5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77D" w14:textId="77777777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4A15" w14:textId="77777777" w:rsidR="005B5845" w:rsidRPr="009C5F4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договора на осуществление технологического присоединения с приложением технических условий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218" w14:textId="55647531" w:rsidR="009C5F44" w:rsidRPr="009C5F44" w:rsidRDefault="009C5F44" w:rsidP="009C5F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Сетевая организация </w:t>
            </w:r>
            <w:r w:rsidRPr="009C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 течение 30 дней с даты получения документов</w:t>
            </w: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предусмотренных в </w:t>
            </w:r>
            <w:hyperlink w:anchor="P350" w:history="1">
              <w:r w:rsidRPr="009C5F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18</w:t>
              </w:r>
            </w:hyperlink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14:paraId="682D34AD" w14:textId="05A4D92F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8EEC" w14:textId="60E1B405" w:rsidR="009C5F44" w:rsidRPr="00393828" w:rsidRDefault="009C5F44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0044C749" w14:textId="4DC3FF27" w:rsidR="009C5F44" w:rsidRPr="00393828" w:rsidRDefault="009C5F44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утвержденных</w:t>
            </w:r>
          </w:p>
          <w:p w14:paraId="699DDCEF" w14:textId="7320651D" w:rsidR="009C5F44" w:rsidRPr="00393828" w:rsidRDefault="009C5F44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14:paraId="294AB8C6" w14:textId="73C8032C" w:rsidR="005B5845" w:rsidRPr="00E27684" w:rsidRDefault="009C5F44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от 2712.2004 г.  №861</w:t>
            </w:r>
          </w:p>
        </w:tc>
      </w:tr>
      <w:tr w:rsidR="005B5845" w:rsidRPr="00E27684" w14:paraId="576F3623" w14:textId="77777777" w:rsidTr="009C5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4482" w14:textId="77777777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A1C1" w14:textId="09D5400B" w:rsidR="005B5845" w:rsidRPr="009C5F4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осуществления мероприятий по технологическому присоединению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0A5" w14:textId="7686A33D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 рабочих дней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заявителей, указанных в </w:t>
            </w:r>
            <w:hyperlink w:anchor="P1079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пунктах 12(1)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w:anchor="P1154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Правил, при одновременном соблюдении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п.16 Правил.</w:t>
            </w:r>
          </w:p>
          <w:p w14:paraId="2631427D" w14:textId="3ED43DD1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15 рабочих дней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в заявке не указан более продолжительный срок) для осуществления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отнесенных к обязанностям сетевой организации, - при временном технологическом присоединении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D7D0D0" w14:textId="65B4C5FE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 месяца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 (в том числе указанных в </w:t>
            </w:r>
            <w:hyperlink w:anchor="P1122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пунктах 13(3)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w:anchor="P1137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13(5)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w:anchor="P1145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13(6)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Правил), максимальная мощность энергопринимающих устройств которых составляет до 670 кВт включительно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89AD87" w14:textId="67003817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 год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заявителей, максимальная мощность энергопринимающих устройств которых составляет свыше 670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F67F5E" w14:textId="4B20C4D2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 год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заявителей, максимальная 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мощность энергопринимающих устройств которых составляет свыше 670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9E95BC" w14:textId="567822AC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 месяцев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заявителей, указанных в </w:t>
            </w:r>
            <w:hyperlink w:anchor="P1079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пунктах 12(1)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w:anchor="P1122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13(3)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w:anchor="P1137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13(5)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w:anchor="P1154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w:anchor="P1658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к электрическим сетям, уровень напряжения которых составляет до 20 </w:t>
            </w:r>
            <w:proofErr w:type="spellStart"/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92B9B4" w14:textId="77777777" w:rsidR="005B5845" w:rsidRP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 год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      </w:r>
          </w:p>
          <w:p w14:paraId="2A8D7A99" w14:textId="259345A4" w:rsidR="005B5845" w:rsidRDefault="005B5845" w:rsidP="00D34F9C">
            <w:pPr>
              <w:pStyle w:val="a3"/>
              <w:ind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 года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энергопринимающих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C54CB" w14:textId="7AD6201D" w:rsidR="005B5845" w:rsidRDefault="005B5845" w:rsidP="00D34F9C">
            <w:pPr>
              <w:pStyle w:val="a3"/>
              <w:ind w:firstLine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 месяц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в заявке не указан более продолжительный срок) - для заявителей, указанных в </w:t>
            </w:r>
            <w:hyperlink w:anchor="P1115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пунктах 13(2)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w:anchor="P1129" w:history="1">
              <w:r w:rsidRPr="005B58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13(4)</w:t>
              </w:r>
            </w:hyperlink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Правил, энергопринимающие устройства которых ранее присоединены в данной точке присоединения к объектам электросетевого хозяйства сетевой организации.</w:t>
            </w:r>
          </w:p>
          <w:p w14:paraId="127EF679" w14:textId="51AB2F16" w:rsidR="005B5845" w:rsidRPr="00E27684" w:rsidRDefault="00D34F9C" w:rsidP="00D34F9C">
            <w:pPr>
              <w:pStyle w:val="a3"/>
              <w:ind w:firstLine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лет). В случае заключения сетевой организацией договора со смежной сетевой организацией в </w:t>
            </w:r>
            <w:r w:rsidRPr="00D34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</w:t>
            </w:r>
            <w:hyperlink w:anchor="P1814" w:history="1">
              <w:r w:rsidRPr="00D34F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 41</w:t>
              </w:r>
            </w:hyperlink>
            <w:r w:rsidRPr="00D3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срок осуществления мероприятий по технологическому присоединению определяется в порядке, установленном настоящими Правилами.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684C" w14:textId="743220B2" w:rsidR="00393828" w:rsidRPr="00393828" w:rsidRDefault="005B5845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D34F9C" w:rsidRPr="0039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ункт</w:t>
            </w:r>
            <w:r w:rsidRPr="0039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</w:p>
          <w:p w14:paraId="0778FA4E" w14:textId="421D5050" w:rsidR="00D34F9C" w:rsidRPr="00393828" w:rsidRDefault="005B5845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D34F9C"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="00D34F9C"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утвержденных</w:t>
            </w:r>
          </w:p>
          <w:p w14:paraId="472741BA" w14:textId="64999D3D" w:rsidR="00D34F9C" w:rsidRPr="00393828" w:rsidRDefault="00D34F9C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 Правительства</w:t>
            </w:r>
          </w:p>
          <w:p w14:paraId="2BC248CA" w14:textId="799EEC71" w:rsidR="005B5845" w:rsidRPr="00E27684" w:rsidRDefault="00D34F9C" w:rsidP="009C5F44">
            <w:pPr>
              <w:pStyle w:val="a3"/>
              <w:jc w:val="center"/>
              <w:rPr>
                <w:rFonts w:eastAsia="Times New Roman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="009C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от 27</w:t>
            </w: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г. </w:t>
            </w:r>
            <w:r w:rsidR="005B5845"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№861</w:t>
            </w:r>
          </w:p>
        </w:tc>
      </w:tr>
      <w:tr w:rsidR="005B5845" w:rsidRPr="00E27684" w14:paraId="2EDC03A8" w14:textId="77777777" w:rsidTr="009C5F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C4DD" w14:textId="77777777" w:rsidR="005B5845" w:rsidRPr="00E27684" w:rsidRDefault="005B5845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97B" w14:textId="1BC1B85B" w:rsidR="005B5845" w:rsidRPr="009C5F44" w:rsidRDefault="00393828" w:rsidP="0010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</w:t>
            </w:r>
            <w:r w:rsidR="005B5845"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</w:t>
            </w:r>
            <w:r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B5845" w:rsidRPr="009C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технических условий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A2E" w14:textId="38436ACB" w:rsidR="00D34F9C" w:rsidRPr="00E27684" w:rsidRDefault="005B5845" w:rsidP="00D34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дней</w:t>
            </w:r>
            <w:r w:rsidRPr="00E2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сетевой организацией уведомления от заявителя о выполнении им технических условий либо уведомления об устранении замечаний.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030" w14:textId="0C55A7F7" w:rsidR="009C5F44" w:rsidRPr="00393828" w:rsidRDefault="00D34F9C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F44"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 w:rsidR="009C5F44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="009C5F44"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утвержденных</w:t>
            </w:r>
          </w:p>
          <w:p w14:paraId="3C5F6D86" w14:textId="4D197490" w:rsidR="009C5F44" w:rsidRPr="00393828" w:rsidRDefault="009C5F44" w:rsidP="009C5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8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14:paraId="6DB40977" w14:textId="33F99096" w:rsidR="005B5845" w:rsidRPr="00E27684" w:rsidRDefault="009C5F44" w:rsidP="009C5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2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828">
              <w:rPr>
                <w:rFonts w:ascii="Times New Roman" w:hAnsi="Times New Roman" w:cs="Times New Roman"/>
                <w:sz w:val="24"/>
                <w:szCs w:val="24"/>
              </w:rPr>
              <w:t>от 2712.2004 г.  №861</w:t>
            </w:r>
          </w:p>
        </w:tc>
      </w:tr>
    </w:tbl>
    <w:p w14:paraId="49850D63" w14:textId="77777777" w:rsidR="00102D4B" w:rsidRPr="00102D4B" w:rsidRDefault="00102D4B" w:rsidP="00102D4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5F6223" w14:textId="77777777" w:rsidR="00942EB2" w:rsidRDefault="00942EB2"/>
    <w:sectPr w:rsidR="00942EB2" w:rsidSect="00E276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D4B"/>
    <w:rsid w:val="00102D4B"/>
    <w:rsid w:val="00276DB6"/>
    <w:rsid w:val="003522BE"/>
    <w:rsid w:val="00393828"/>
    <w:rsid w:val="004A4354"/>
    <w:rsid w:val="005B5845"/>
    <w:rsid w:val="007A0D7D"/>
    <w:rsid w:val="00854F50"/>
    <w:rsid w:val="00942EB2"/>
    <w:rsid w:val="009C5F44"/>
    <w:rsid w:val="00A41BB4"/>
    <w:rsid w:val="00AB25FF"/>
    <w:rsid w:val="00BC0839"/>
    <w:rsid w:val="00C4067B"/>
    <w:rsid w:val="00D34F9C"/>
    <w:rsid w:val="00D8678D"/>
    <w:rsid w:val="00DF2570"/>
    <w:rsid w:val="00E27684"/>
    <w:rsid w:val="00E33513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1C5A"/>
  <w15:docId w15:val="{95D74402-5906-484A-BC39-83349194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B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76D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6DB6"/>
    <w:rPr>
      <w:b/>
      <w:bCs/>
    </w:rPr>
  </w:style>
  <w:style w:type="paragraph" w:customStyle="1" w:styleId="ConsPlusNormal">
    <w:name w:val="ConsPlusNormal"/>
    <w:rsid w:val="005B5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p@kh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Колесникова Анастасия Васильевна</cp:lastModifiedBy>
  <cp:revision>8</cp:revision>
  <dcterms:created xsi:type="dcterms:W3CDTF">2019-02-28T10:42:00Z</dcterms:created>
  <dcterms:modified xsi:type="dcterms:W3CDTF">2023-01-25T04:36:00Z</dcterms:modified>
</cp:coreProperties>
</file>